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D72640" w:rsidTr="00D72640">
        <w:tc>
          <w:tcPr>
            <w:tcW w:w="1696" w:type="dxa"/>
          </w:tcPr>
          <w:p w:rsidR="00D72640" w:rsidRDefault="00D72640">
            <w:r>
              <w:t>Jednostka redakcyjna</w:t>
            </w:r>
          </w:p>
        </w:tc>
        <w:tc>
          <w:tcPr>
            <w:tcW w:w="4345" w:type="dxa"/>
          </w:tcPr>
          <w:p w:rsidR="00D72640" w:rsidRDefault="00D72640">
            <w:r>
              <w:t xml:space="preserve">Zasada </w:t>
            </w:r>
          </w:p>
        </w:tc>
        <w:tc>
          <w:tcPr>
            <w:tcW w:w="3021" w:type="dxa"/>
          </w:tcPr>
          <w:p w:rsidR="00D72640" w:rsidRDefault="00D72640">
            <w:r>
              <w:t>Uzasadnienie niespełnienia/częściowego spełnienia</w:t>
            </w:r>
          </w:p>
        </w:tc>
      </w:tr>
      <w:tr w:rsidR="00D72640" w:rsidTr="00D72640">
        <w:tc>
          <w:tcPr>
            <w:tcW w:w="1696" w:type="dxa"/>
          </w:tcPr>
          <w:p w:rsidR="00D72640" w:rsidRDefault="00806F07">
            <w:r w:rsidRPr="00806F07">
              <w:t>§ 6</w:t>
            </w:r>
            <w:r>
              <w:t xml:space="preserve"> ust. 1 </w:t>
            </w:r>
          </w:p>
        </w:tc>
        <w:tc>
          <w:tcPr>
            <w:tcW w:w="4345" w:type="dxa"/>
          </w:tcPr>
          <w:p w:rsidR="00806F07" w:rsidRDefault="00806F07" w:rsidP="00806F07">
            <w:r>
              <w:t xml:space="preserve">W przypadku wprowadzenia w instytucji nadzorowanej anonimowego sposobu </w:t>
            </w:r>
          </w:p>
          <w:p w:rsidR="00806F07" w:rsidRDefault="00806F07" w:rsidP="00806F07">
            <w:r>
              <w:t xml:space="preserve">powiadamiania organu zarządzającego lub organu nadzorującego o nadużyciach w tejże </w:t>
            </w:r>
          </w:p>
          <w:p w:rsidR="00D72640" w:rsidRDefault="00806F07" w:rsidP="00806F07">
            <w:r>
              <w:t>instytucji nadzorowanej, powinna być zapewniona możliwość korzystania z tego narzędzia przez pracowników bez obawy negatywnych konsekwencji ze strony kierownictwa i innych pracowników instytucji nadzorowanej.</w:t>
            </w:r>
          </w:p>
        </w:tc>
        <w:tc>
          <w:tcPr>
            <w:tcW w:w="3021" w:type="dxa"/>
          </w:tcPr>
          <w:p w:rsidR="00D72640" w:rsidRDefault="00806F07">
            <w:r>
              <w:t>Brak anonimowego kanału zgłaszania nadużyć uzasadniony jest zabezpieczeniem poufności osób zgłaszających w innych kanałach zgłoszeń – Polityka zgłaszania nadużyć i Polityka antykorupcyjna oraz Kodeks etyczny.</w:t>
            </w:r>
          </w:p>
        </w:tc>
      </w:tr>
      <w:tr w:rsidR="00791D1E" w:rsidTr="00D72640">
        <w:tc>
          <w:tcPr>
            <w:tcW w:w="1696" w:type="dxa"/>
          </w:tcPr>
          <w:p w:rsidR="00791D1E" w:rsidRPr="00806F07" w:rsidRDefault="00791D1E">
            <w:r>
              <w:t>§ 8 ust. 4</w:t>
            </w:r>
          </w:p>
        </w:tc>
        <w:tc>
          <w:tcPr>
            <w:tcW w:w="4345" w:type="dxa"/>
          </w:tcPr>
          <w:p w:rsidR="00791D1E" w:rsidRDefault="00791D1E" w:rsidP="00791D1E">
            <w:r>
              <w:t>Instytucja nadzorowana, gdy jest to uzasadnione liczb</w:t>
            </w:r>
            <w:r>
              <w:t xml:space="preserve">ą udziałowców, powinna dążyć do </w:t>
            </w:r>
            <w:r>
              <w:t>ułatwiania udziału wszystkim udziałowcom w z</w:t>
            </w:r>
            <w:r>
              <w:t xml:space="preserve">gromadzeniu organu stanowiącego </w:t>
            </w:r>
            <w:r>
              <w:t>instytucji nadzorowanej, między innymi poprzez zapewni</w:t>
            </w:r>
            <w:r>
              <w:t xml:space="preserve">enie możliwości elektronicznego </w:t>
            </w:r>
            <w:r>
              <w:t>aktywnego</w:t>
            </w:r>
            <w:r>
              <w:t xml:space="preserve"> udziału w posiedzeniach organu </w:t>
            </w:r>
            <w:r>
              <w:t>stanowiącego.</w:t>
            </w:r>
          </w:p>
        </w:tc>
        <w:tc>
          <w:tcPr>
            <w:tcW w:w="3021" w:type="dxa"/>
          </w:tcPr>
          <w:p w:rsidR="00791D1E" w:rsidRDefault="00791D1E" w:rsidP="00791D1E">
            <w:r>
              <w:t>Brak zapewnienia elektronicznego</w:t>
            </w:r>
          </w:p>
          <w:p w:rsidR="00791D1E" w:rsidRDefault="00791D1E" w:rsidP="00791D1E">
            <w:r>
              <w:t>aktywnego udziału w posiedzeniach organu stanowiącego, jednakże zapewniona jest możliwość udziału wszystkich udziałowców</w:t>
            </w:r>
            <w:r w:rsidRPr="00EE5F95">
              <w:t xml:space="preserve"> w zgromadzeniu organu stanowiącego</w:t>
            </w:r>
            <w:r>
              <w:t>.</w:t>
            </w:r>
            <w:bookmarkStart w:id="0" w:name="_GoBack"/>
            <w:bookmarkEnd w:id="0"/>
          </w:p>
        </w:tc>
      </w:tr>
      <w:tr w:rsidR="0039696A" w:rsidTr="00D72640">
        <w:tc>
          <w:tcPr>
            <w:tcW w:w="1696" w:type="dxa"/>
          </w:tcPr>
          <w:p w:rsidR="0039696A" w:rsidRPr="00BF2827" w:rsidRDefault="0039696A" w:rsidP="0039696A">
            <w:r w:rsidRPr="0039696A">
              <w:t xml:space="preserve">§ 21 </w:t>
            </w:r>
            <w:r>
              <w:t>ust.</w:t>
            </w:r>
            <w:r w:rsidRPr="0039696A">
              <w:t xml:space="preserve"> 2</w:t>
            </w:r>
            <w:r>
              <w:t xml:space="preserve"> </w:t>
            </w:r>
          </w:p>
        </w:tc>
        <w:tc>
          <w:tcPr>
            <w:tcW w:w="4345" w:type="dxa"/>
          </w:tcPr>
          <w:p w:rsidR="0039696A" w:rsidRDefault="0039696A" w:rsidP="003E001A">
            <w:r w:rsidRPr="0039696A">
              <w:t>W składzie organu nadzorującego powinna być wyodrębniona funkcja przewodniczącego, który kieruje pracami organu nadzorującego. Wybór przewodniczącego organu nadzorującego powinien być dokonywany w oparciu o doświadczenie oraz umiejętności kierowania zespołem</w:t>
            </w:r>
            <w:r w:rsidR="003E001A">
              <w:t xml:space="preserve"> przy uwzględnieniu kryterium niezależności</w:t>
            </w:r>
            <w:r>
              <w:t>.</w:t>
            </w:r>
          </w:p>
        </w:tc>
        <w:tc>
          <w:tcPr>
            <w:tcW w:w="3021" w:type="dxa"/>
          </w:tcPr>
          <w:p w:rsidR="0039696A" w:rsidRDefault="003E001A" w:rsidP="003E001A">
            <w:r>
              <w:t>Zgodnie ze Statutem TUZ Ubezpieczenia, w</w:t>
            </w:r>
            <w:r w:rsidR="0039696A" w:rsidRPr="0039696A">
              <w:t xml:space="preserve">ybór Przewodniczącego Rady Nadzorczej dokonywany jest w oparciu o doświadczenie, odpowiednie kompetencje oraz umiejętności kierowania zespołem, a także niezbędne kompetencje do zajmowania określonej funkcji. </w:t>
            </w:r>
            <w:r>
              <w:t xml:space="preserve">Odstępstwo dotyczy jedynie cechy niezależności Przewodniczącego Rady Nadzorczej, jednakże na podstawie </w:t>
            </w:r>
            <w:r w:rsidR="0039696A" w:rsidRPr="0039696A">
              <w:t>stanowis</w:t>
            </w:r>
            <w:r>
              <w:t>ka</w:t>
            </w:r>
            <w:r w:rsidR="0039696A" w:rsidRPr="0039696A">
              <w:t xml:space="preserve"> Komisji Nadzoru Finansowego, </w:t>
            </w:r>
            <w:r>
              <w:t>n</w:t>
            </w:r>
            <w:r w:rsidR="0039696A" w:rsidRPr="0039696A">
              <w:t>iezależność została uznana jedynie za czynnik dopełniający profesjonalizm zawodowy członków Rady Nadzorczej.</w:t>
            </w:r>
          </w:p>
        </w:tc>
      </w:tr>
      <w:tr w:rsidR="00D16841" w:rsidTr="00D72640">
        <w:tc>
          <w:tcPr>
            <w:tcW w:w="1696" w:type="dxa"/>
          </w:tcPr>
          <w:p w:rsidR="00D16841" w:rsidRPr="00D16841" w:rsidRDefault="00D16841">
            <w:r w:rsidRPr="00D16841">
              <w:t>§ 49</w:t>
            </w:r>
            <w:r>
              <w:t xml:space="preserve"> ust. 4</w:t>
            </w:r>
          </w:p>
        </w:tc>
        <w:tc>
          <w:tcPr>
            <w:tcW w:w="4345" w:type="dxa"/>
          </w:tcPr>
          <w:p w:rsidR="00D16841" w:rsidRDefault="00D16841" w:rsidP="00D16841">
            <w:r>
              <w:t xml:space="preserve">W instytucji nadzorowanej, w której nie funkcjonuje komórka audytu lub komórka do spraw zapewnienia zgodności uprawnienia wynikające z ust. 1-3 przysługują osobom </w:t>
            </w:r>
          </w:p>
          <w:p w:rsidR="00D16841" w:rsidRDefault="00D16841" w:rsidP="00D16841">
            <w:r>
              <w:t>odpowiedzialnym za wykonywanie tych funkcji.</w:t>
            </w:r>
          </w:p>
        </w:tc>
        <w:tc>
          <w:tcPr>
            <w:tcW w:w="3021" w:type="dxa"/>
          </w:tcPr>
          <w:p w:rsidR="00D16841" w:rsidRDefault="00D16841" w:rsidP="00D16841">
            <w:r>
              <w:t>Zasada ta nie dotyczy TUZ Ubezpieczenia, w którym istnieją dwie nieżelazne komórki: audytu wewnętrznego oraz zgodności z przepisami.</w:t>
            </w:r>
          </w:p>
        </w:tc>
      </w:tr>
      <w:tr w:rsidR="00D16841" w:rsidTr="00D72640">
        <w:tc>
          <w:tcPr>
            <w:tcW w:w="1696" w:type="dxa"/>
          </w:tcPr>
          <w:p w:rsidR="00D16841" w:rsidRPr="00BF2827" w:rsidRDefault="00D16841">
            <w:r w:rsidRPr="00D16841">
              <w:t>§ 52 ust. 2</w:t>
            </w:r>
          </w:p>
        </w:tc>
        <w:tc>
          <w:tcPr>
            <w:tcW w:w="4345" w:type="dxa"/>
          </w:tcPr>
          <w:p w:rsidR="00D16841" w:rsidRDefault="00D16841" w:rsidP="00D16841">
            <w:r>
              <w:t xml:space="preserve">W instytucji nadzorowanej, w której nie funkcjonuje komórka audytu lub komórka do spraw zapewnienia zgodności lub nie </w:t>
            </w:r>
            <w:r>
              <w:lastRenderedPageBreak/>
              <w:t>wyznaczono komórki odpowiedzialnej za ten obszar informacje, o których mowa w ust. 1 przekazują osoby odpowiedzialne za wykonywanie tych funkcji.</w:t>
            </w:r>
          </w:p>
        </w:tc>
        <w:tc>
          <w:tcPr>
            <w:tcW w:w="3021" w:type="dxa"/>
          </w:tcPr>
          <w:p w:rsidR="00D16841" w:rsidRDefault="00D16841" w:rsidP="00D16841">
            <w:r>
              <w:lastRenderedPageBreak/>
              <w:t xml:space="preserve">Zasada ta nie dotyczy TUZ Ubezpieczenia, w którym istnieją dwie </w:t>
            </w:r>
            <w:r w:rsidR="003E001A">
              <w:t xml:space="preserve">nieżelazne </w:t>
            </w:r>
            <w:r w:rsidR="003E001A">
              <w:lastRenderedPageBreak/>
              <w:t xml:space="preserve">komórki: audytu </w:t>
            </w:r>
            <w:r>
              <w:t>wewnętrznego oraz zgodności z przepisami.</w:t>
            </w:r>
          </w:p>
        </w:tc>
      </w:tr>
      <w:tr w:rsidR="00DD36FD" w:rsidTr="00D72640">
        <w:tc>
          <w:tcPr>
            <w:tcW w:w="1696" w:type="dxa"/>
          </w:tcPr>
          <w:p w:rsidR="00DD36FD" w:rsidRDefault="00DD36FD">
            <w:r w:rsidRPr="00DD36FD">
              <w:lastRenderedPageBreak/>
              <w:t>§</w:t>
            </w:r>
            <w:r>
              <w:t>53-</w:t>
            </w:r>
            <w:r w:rsidRPr="00DD36FD">
              <w:t xml:space="preserve"> 57</w:t>
            </w:r>
          </w:p>
        </w:tc>
        <w:tc>
          <w:tcPr>
            <w:tcW w:w="4345" w:type="dxa"/>
          </w:tcPr>
          <w:p w:rsidR="00DD36FD" w:rsidRDefault="00DD36FD">
            <w:r w:rsidRPr="00DD36FD">
              <w:t>Wykonywanie uprawnień z aktywów nabytych na ryzyko klienta</w:t>
            </w:r>
          </w:p>
        </w:tc>
        <w:tc>
          <w:tcPr>
            <w:tcW w:w="3021" w:type="dxa"/>
          </w:tcPr>
          <w:p w:rsidR="00DD36FD" w:rsidRDefault="00DD36FD" w:rsidP="00DD36FD">
            <w:r>
              <w:t>T</w:t>
            </w:r>
            <w:r w:rsidR="00962F04">
              <w:t>UZ Ubezpieczenia</w:t>
            </w:r>
            <w:r>
              <w:t xml:space="preserve"> nie oferuje produktów,</w:t>
            </w:r>
          </w:p>
          <w:p w:rsidR="00DD36FD" w:rsidRDefault="00DD36FD" w:rsidP="00DD36FD">
            <w:r>
              <w:t>które dotyczą zarządzania</w:t>
            </w:r>
          </w:p>
          <w:p w:rsidR="00DD36FD" w:rsidRDefault="00DD36FD" w:rsidP="00DD36FD">
            <w:r>
              <w:t>aktywami na ryzyko klienta</w:t>
            </w:r>
          </w:p>
        </w:tc>
      </w:tr>
    </w:tbl>
    <w:p w:rsidR="00213592" w:rsidRDefault="00C31A24"/>
    <w:sectPr w:rsidR="0021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40"/>
    <w:rsid w:val="00111457"/>
    <w:rsid w:val="0039696A"/>
    <w:rsid w:val="003E001A"/>
    <w:rsid w:val="004361E0"/>
    <w:rsid w:val="00791D1E"/>
    <w:rsid w:val="00806F07"/>
    <w:rsid w:val="00962F04"/>
    <w:rsid w:val="00BD3FD3"/>
    <w:rsid w:val="00BF2827"/>
    <w:rsid w:val="00C31A24"/>
    <w:rsid w:val="00D16841"/>
    <w:rsid w:val="00D72640"/>
    <w:rsid w:val="00D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023C3-E567-44EE-811C-97E043B0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Szaniawska</dc:creator>
  <cp:keywords/>
  <dc:description/>
  <cp:lastModifiedBy>Katarzyna Szaniawska</cp:lastModifiedBy>
  <cp:revision>7</cp:revision>
  <dcterms:created xsi:type="dcterms:W3CDTF">2022-05-16T10:57:00Z</dcterms:created>
  <dcterms:modified xsi:type="dcterms:W3CDTF">2022-05-31T10:13:00Z</dcterms:modified>
</cp:coreProperties>
</file>